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ind w:left="76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267897" cy="70688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897" cy="70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580" w:bottom="0" w:left="200" w:right="0"/>
        </w:sectPr>
      </w:pPr>
    </w:p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68430807">
            <wp:simplePos x="0" y="0"/>
            <wp:positionH relativeFrom="page">
              <wp:posOffset>70103</wp:posOffset>
            </wp:positionH>
            <wp:positionV relativeFrom="page">
              <wp:posOffset>317350</wp:posOffset>
            </wp:positionV>
            <wp:extent cx="7461503" cy="10374652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3" cy="1037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tabs>
          <w:tab w:pos="5150" w:val="left" w:leader="none"/>
          <w:tab w:pos="6880" w:val="left" w:leader="none"/>
          <w:tab w:pos="8452" w:val="left" w:leader="none"/>
          <w:tab w:pos="10183" w:val="left" w:leader="none"/>
        </w:tabs>
        <w:spacing w:before="0"/>
        <w:ind w:left="1918" w:right="0" w:firstLine="0"/>
        <w:jc w:val="left"/>
        <w:rPr>
          <w:b/>
          <w:sz w:val="18"/>
        </w:rPr>
      </w:pPr>
      <w:r>
        <w:rPr>
          <w:b/>
          <w:color w:val="6D5AA3"/>
          <w:sz w:val="18"/>
        </w:rPr>
        <w:t>09 77 40</w:t>
      </w:r>
      <w:r>
        <w:rPr>
          <w:b/>
          <w:color w:val="6D5AA3"/>
          <w:spacing w:val="2"/>
          <w:sz w:val="18"/>
        </w:rPr>
        <w:t> </w:t>
      </w:r>
      <w:r>
        <w:rPr>
          <w:b/>
          <w:color w:val="6D5AA3"/>
          <w:sz w:val="18"/>
        </w:rPr>
        <w:t>09</w:t>
      </w:r>
      <w:r>
        <w:rPr>
          <w:b/>
          <w:color w:val="6D5AA3"/>
          <w:spacing w:val="1"/>
          <w:sz w:val="18"/>
        </w:rPr>
        <w:t> </w:t>
      </w:r>
      <w:r>
        <w:rPr>
          <w:b/>
          <w:color w:val="6D5AA3"/>
          <w:sz w:val="18"/>
        </w:rPr>
        <w:t>31</w:t>
        <w:tab/>
      </w:r>
      <w:r>
        <w:rPr>
          <w:b/>
          <w:color w:val="6D5AA3"/>
          <w:sz w:val="18"/>
          <w:shd w:fill="FFFFFF" w:color="auto" w:val="clear"/>
        </w:rPr>
        <w:t>09 77 40</w:t>
      </w:r>
      <w:r>
        <w:rPr>
          <w:b/>
          <w:color w:val="6D5AA3"/>
          <w:spacing w:val="2"/>
          <w:sz w:val="18"/>
          <w:shd w:fill="FFFFFF" w:color="auto" w:val="clear"/>
        </w:rPr>
        <w:t> </w:t>
      </w:r>
      <w:r>
        <w:rPr>
          <w:b/>
          <w:color w:val="6D5AA3"/>
          <w:sz w:val="18"/>
          <w:shd w:fill="FFFFFF" w:color="auto" w:val="clear"/>
        </w:rPr>
        <w:t>09</w:t>
      </w:r>
      <w:r>
        <w:rPr>
          <w:b/>
          <w:color w:val="6D5AA3"/>
          <w:spacing w:val="1"/>
          <w:sz w:val="18"/>
          <w:shd w:fill="FFFFFF" w:color="auto" w:val="clear"/>
        </w:rPr>
        <w:t> </w:t>
      </w:r>
      <w:r>
        <w:rPr>
          <w:b/>
          <w:color w:val="6D5AA3"/>
          <w:sz w:val="18"/>
          <w:shd w:fill="FFFFFF" w:color="auto" w:val="clear"/>
        </w:rPr>
        <w:t>31</w:t>
        <w:tab/>
      </w:r>
      <w:r>
        <w:rPr>
          <w:b/>
          <w:color w:val="6D5AA3"/>
          <w:sz w:val="18"/>
        </w:rPr>
        <w:tab/>
      </w:r>
      <w:r>
        <w:rPr>
          <w:b/>
          <w:color w:val="6D5AA3"/>
          <w:sz w:val="18"/>
          <w:shd w:fill="FFFFFF" w:color="auto" w:val="clear"/>
        </w:rPr>
        <w:t>09 77 40 09</w:t>
      </w:r>
      <w:r>
        <w:rPr>
          <w:b/>
          <w:color w:val="6D5AA3"/>
          <w:spacing w:val="7"/>
          <w:sz w:val="18"/>
          <w:shd w:fill="FFFFFF" w:color="auto" w:val="clear"/>
        </w:rPr>
        <w:t> </w:t>
      </w:r>
      <w:r>
        <w:rPr>
          <w:b/>
          <w:color w:val="6D5AA3"/>
          <w:sz w:val="18"/>
          <w:shd w:fill="FFFFFF" w:color="auto" w:val="clear"/>
        </w:rPr>
        <w:t>31</w:t>
        <w:tab/>
      </w:r>
    </w:p>
    <w:p>
      <w:pPr>
        <w:spacing w:after="0"/>
        <w:jc w:val="left"/>
        <w:rPr>
          <w:sz w:val="18"/>
        </w:rPr>
        <w:sectPr>
          <w:pgSz w:w="11910" w:h="16840"/>
          <w:pgMar w:top="1580" w:bottom="280" w:left="200" w:right="0"/>
        </w:sectPr>
      </w:pPr>
    </w:p>
    <w:p>
      <w:pPr>
        <w:pStyle w:val="BodyText"/>
        <w:ind w:left="103"/>
      </w:pPr>
      <w:r>
        <w:rPr/>
        <w:drawing>
          <wp:inline distT="0" distB="0" distL="0" distR="0">
            <wp:extent cx="7107519" cy="997734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519" cy="997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top="600" w:bottom="0" w:left="200" w:right="0"/>
        </w:sectPr>
      </w:pPr>
    </w:p>
    <w:p>
      <w:pPr>
        <w:pStyle w:val="BodyText"/>
        <w:ind w:left="123"/>
      </w:pPr>
      <w:r>
        <w:rPr/>
        <w:drawing>
          <wp:inline distT="0" distB="0" distL="0" distR="0">
            <wp:extent cx="6906969" cy="9977342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969" cy="997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top="600" w:bottom="0" w:left="200" w:right="0"/>
        </w:sectPr>
      </w:pPr>
    </w:p>
    <w:p>
      <w:pPr>
        <w:spacing w:before="89"/>
        <w:ind w:left="391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6B57A1"/>
          <w:sz w:val="28"/>
        </w:rPr>
        <w:t>Informations réglementaires</w:t>
      </w:r>
    </w:p>
    <w:p>
      <w:pPr>
        <w:pStyle w:val="BodyText"/>
        <w:spacing w:before="7"/>
        <w:rPr>
          <w:rFonts w:ascii="Arial"/>
          <w:b/>
          <w:sz w:val="44"/>
        </w:rPr>
      </w:pPr>
    </w:p>
    <w:p>
      <w:pPr>
        <w:pStyle w:val="Heading1"/>
      </w:pPr>
      <w:r>
        <w:rPr>
          <w:color w:val="6B57A1"/>
        </w:rPr>
        <w:t>Article R*111-3 du code de la construction et de l’habitation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ind w:left="548"/>
      </w:pPr>
      <w:r>
        <w:rPr>
          <w:color w:val="6B57A1"/>
        </w:rPr>
        <w:t>“Tout logement doit :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90" w:lineRule="auto" w:before="0" w:after="0"/>
        <w:ind w:left="548" w:right="883" w:firstLine="0"/>
        <w:jc w:val="left"/>
        <w:rPr>
          <w:sz w:val="20"/>
        </w:rPr>
      </w:pPr>
      <w:r>
        <w:rPr>
          <w:color w:val="6B57A1"/>
          <w:sz w:val="20"/>
        </w:rPr>
        <w:t>Etre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pourvu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d’une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installation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d’alimentation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en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eau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potable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et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d’une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installation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d’évacuation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des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eaux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usées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ne permettant aucun refoulement des odeurs</w:t>
      </w:r>
      <w:r>
        <w:rPr>
          <w:color w:val="6B57A1"/>
          <w:spacing w:val="-27"/>
          <w:sz w:val="20"/>
        </w:rPr>
        <w:t> </w:t>
      </w:r>
      <w:r>
        <w:rPr>
          <w:color w:val="6B57A1"/>
          <w:sz w:val="20"/>
        </w:rPr>
        <w:t>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90" w:lineRule="auto" w:before="0" w:after="0"/>
        <w:ind w:left="548" w:right="1153" w:firstLine="0"/>
        <w:jc w:val="left"/>
        <w:rPr>
          <w:sz w:val="20"/>
        </w:rPr>
      </w:pPr>
      <w:r>
        <w:rPr>
          <w:color w:val="6B57A1"/>
          <w:sz w:val="20"/>
        </w:rPr>
        <w:t>Comporter au moins une pièce spéciale pour la toilette, avec une douche ou une baignoire et un lavabo, la douche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ou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la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baignoire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pouvant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toutefois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être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commune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à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cinq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logements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au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maximum,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s’il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s’agit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de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logements d’une personne groupés dans un même bâtiment</w:t>
      </w:r>
      <w:r>
        <w:rPr>
          <w:color w:val="6B57A1"/>
          <w:spacing w:val="-32"/>
          <w:sz w:val="20"/>
        </w:rPr>
        <w:t> </w:t>
      </w:r>
      <w:r>
        <w:rPr>
          <w:color w:val="6B57A1"/>
          <w:sz w:val="20"/>
        </w:rPr>
        <w:t>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90" w:lineRule="auto" w:before="0" w:after="0"/>
        <w:ind w:left="548" w:right="953" w:firstLine="0"/>
        <w:jc w:val="left"/>
        <w:rPr>
          <w:sz w:val="20"/>
        </w:rPr>
      </w:pPr>
      <w:r>
        <w:rPr>
          <w:color w:val="6B57A1"/>
          <w:sz w:val="20"/>
        </w:rPr>
        <w:t>Etre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pourvu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d’un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cabinet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d’aisances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intérieur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au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logement,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le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cabinet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d’aisances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pouvant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toutefois</w:t>
      </w:r>
      <w:r>
        <w:rPr>
          <w:color w:val="6B57A1"/>
          <w:spacing w:val="-13"/>
          <w:sz w:val="20"/>
        </w:rPr>
        <w:t> </w:t>
      </w:r>
      <w:r>
        <w:rPr>
          <w:color w:val="6B57A1"/>
          <w:sz w:val="20"/>
        </w:rPr>
        <w:t>être</w:t>
      </w:r>
      <w:r>
        <w:rPr>
          <w:color w:val="6B57A1"/>
          <w:spacing w:val="-14"/>
          <w:sz w:val="20"/>
        </w:rPr>
        <w:t> </w:t>
      </w:r>
      <w:r>
        <w:rPr>
          <w:color w:val="6B57A1"/>
          <w:sz w:val="20"/>
        </w:rPr>
        <w:t>commun à</w:t>
      </w:r>
      <w:r>
        <w:rPr>
          <w:color w:val="6B57A1"/>
          <w:spacing w:val="-5"/>
          <w:sz w:val="20"/>
        </w:rPr>
        <w:t> </w:t>
      </w:r>
      <w:r>
        <w:rPr>
          <w:color w:val="6B57A1"/>
          <w:sz w:val="20"/>
        </w:rPr>
        <w:t>cinq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logements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au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maximum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s’il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s’agit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de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logements</w:t>
      </w:r>
      <w:r>
        <w:rPr>
          <w:color w:val="6B57A1"/>
          <w:spacing w:val="-5"/>
          <w:sz w:val="20"/>
        </w:rPr>
        <w:t> </w:t>
      </w:r>
      <w:r>
        <w:rPr>
          <w:color w:val="6B57A1"/>
          <w:sz w:val="20"/>
        </w:rPr>
        <w:t>d’une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personne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et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de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moins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de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20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mètres</w:t>
      </w:r>
      <w:r>
        <w:rPr>
          <w:color w:val="6B57A1"/>
          <w:spacing w:val="-5"/>
          <w:sz w:val="20"/>
        </w:rPr>
        <w:t> </w:t>
      </w:r>
      <w:r>
        <w:rPr>
          <w:color w:val="6B57A1"/>
          <w:sz w:val="20"/>
        </w:rPr>
        <w:t>carrés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de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surface habitable et à condition qu’il soit situé au même étage que ces logements, le cabinet d’aisances peut ne former qu’une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seule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pièce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avec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la</w:t>
      </w:r>
      <w:r>
        <w:rPr>
          <w:color w:val="6B57A1"/>
          <w:spacing w:val="-5"/>
          <w:sz w:val="20"/>
        </w:rPr>
        <w:t> </w:t>
      </w:r>
      <w:r>
        <w:rPr>
          <w:color w:val="6B57A1"/>
          <w:sz w:val="20"/>
        </w:rPr>
        <w:t>pièce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spéciale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pour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la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toilette</w:t>
      </w:r>
      <w:r>
        <w:rPr>
          <w:color w:val="6B57A1"/>
          <w:spacing w:val="-5"/>
          <w:sz w:val="20"/>
        </w:rPr>
        <w:t> </w:t>
      </w:r>
      <w:r>
        <w:rPr>
          <w:color w:val="6B57A1"/>
          <w:sz w:val="20"/>
        </w:rPr>
        <w:t>mentionnée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au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b</w:t>
      </w:r>
      <w:r>
        <w:rPr>
          <w:color w:val="6B57A1"/>
          <w:spacing w:val="-6"/>
          <w:sz w:val="20"/>
        </w:rPr>
        <w:t> </w:t>
      </w:r>
      <w:r>
        <w:rPr>
          <w:color w:val="6B57A1"/>
          <w:sz w:val="20"/>
        </w:rPr>
        <w:t>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90" w:lineRule="auto" w:before="0" w:after="0"/>
        <w:ind w:left="548" w:right="1116" w:firstLine="0"/>
        <w:jc w:val="left"/>
        <w:rPr>
          <w:sz w:val="20"/>
        </w:rPr>
      </w:pPr>
      <w:r>
        <w:rPr>
          <w:color w:val="6B57A1"/>
          <w:sz w:val="20"/>
        </w:rPr>
        <w:t>Comporter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un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évier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muni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d’un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écoulement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d’eau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et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un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emplacement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aménagé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pour</w:t>
      </w:r>
      <w:r>
        <w:rPr>
          <w:color w:val="6B57A1"/>
          <w:spacing w:val="-4"/>
          <w:sz w:val="20"/>
        </w:rPr>
        <w:t> </w:t>
      </w:r>
      <w:r>
        <w:rPr>
          <w:color w:val="6B57A1"/>
          <w:sz w:val="20"/>
        </w:rPr>
        <w:t>recevoir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des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appareils</w:t>
      </w:r>
      <w:r>
        <w:rPr>
          <w:color w:val="6B57A1"/>
          <w:spacing w:val="-3"/>
          <w:sz w:val="20"/>
        </w:rPr>
        <w:t> </w:t>
      </w:r>
      <w:r>
        <w:rPr>
          <w:color w:val="6B57A1"/>
          <w:sz w:val="20"/>
        </w:rPr>
        <w:t>de cuisson.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92" w:lineRule="auto"/>
        <w:ind w:left="548" w:right="1224"/>
      </w:pPr>
      <w:r>
        <w:rPr>
          <w:rFonts w:ascii="Arial" w:hAnsi="Arial"/>
          <w:color w:val="6B57A1"/>
        </w:rPr>
        <w:t>Les règles de construction et d’installation des fosses septiques et appareils analogues sont fixées par un arrêté </w:t>
      </w:r>
      <w:r>
        <w:rPr>
          <w:color w:val="6B57A1"/>
        </w:rPr>
        <w:t>conjoint du ministre chargé de la santé et du ministre chargé de la construction et de l’habitation.</w:t>
      </w:r>
    </w:p>
    <w:p>
      <w:pPr>
        <w:pStyle w:val="BodyText"/>
        <w:spacing w:line="290" w:lineRule="auto"/>
        <w:ind w:left="548" w:right="774"/>
      </w:pPr>
      <w:r>
        <w:rPr>
          <w:color w:val="6B57A1"/>
        </w:rPr>
        <w:t>Les</w:t>
      </w:r>
      <w:r>
        <w:rPr>
          <w:color w:val="6B57A1"/>
          <w:spacing w:val="-9"/>
        </w:rPr>
        <w:t> </w:t>
      </w:r>
      <w:r>
        <w:rPr>
          <w:color w:val="6B57A1"/>
        </w:rPr>
        <w:t>immeubles</w:t>
      </w:r>
      <w:r>
        <w:rPr>
          <w:color w:val="6B57A1"/>
          <w:spacing w:val="-8"/>
        </w:rPr>
        <w:t> </w:t>
      </w:r>
      <w:r>
        <w:rPr>
          <w:color w:val="6B57A1"/>
        </w:rPr>
        <w:t>collectifs</w:t>
      </w:r>
      <w:r>
        <w:rPr>
          <w:color w:val="6B57A1"/>
          <w:spacing w:val="-8"/>
        </w:rPr>
        <w:t> </w:t>
      </w:r>
      <w:r>
        <w:rPr>
          <w:color w:val="6B57A1"/>
        </w:rPr>
        <w:t>comportent</w:t>
      </w:r>
      <w:r>
        <w:rPr>
          <w:color w:val="6B57A1"/>
          <w:spacing w:val="-9"/>
        </w:rPr>
        <w:t> </w:t>
      </w:r>
      <w:r>
        <w:rPr>
          <w:color w:val="6B57A1"/>
        </w:rPr>
        <w:t>un</w:t>
      </w:r>
      <w:r>
        <w:rPr>
          <w:color w:val="6B57A1"/>
          <w:spacing w:val="-8"/>
        </w:rPr>
        <w:t> </w:t>
      </w:r>
      <w:r>
        <w:rPr>
          <w:color w:val="6B57A1"/>
        </w:rPr>
        <w:t>local</w:t>
      </w:r>
      <w:r>
        <w:rPr>
          <w:color w:val="6B57A1"/>
          <w:spacing w:val="-8"/>
        </w:rPr>
        <w:t> </w:t>
      </w:r>
      <w:r>
        <w:rPr>
          <w:color w:val="6B57A1"/>
        </w:rPr>
        <w:t>clos</w:t>
      </w:r>
      <w:r>
        <w:rPr>
          <w:color w:val="6B57A1"/>
          <w:spacing w:val="-9"/>
        </w:rPr>
        <w:t> </w:t>
      </w:r>
      <w:r>
        <w:rPr>
          <w:color w:val="6B57A1"/>
        </w:rPr>
        <w:t>et</w:t>
      </w:r>
      <w:r>
        <w:rPr>
          <w:color w:val="6B57A1"/>
          <w:spacing w:val="-8"/>
        </w:rPr>
        <w:t> </w:t>
      </w:r>
      <w:r>
        <w:rPr>
          <w:color w:val="6B57A1"/>
        </w:rPr>
        <w:t>ventilé</w:t>
      </w:r>
      <w:r>
        <w:rPr>
          <w:color w:val="6B57A1"/>
          <w:spacing w:val="-8"/>
        </w:rPr>
        <w:t> </w:t>
      </w:r>
      <w:r>
        <w:rPr>
          <w:color w:val="6B57A1"/>
        </w:rPr>
        <w:t>pour</w:t>
      </w:r>
      <w:r>
        <w:rPr>
          <w:color w:val="6B57A1"/>
          <w:spacing w:val="-8"/>
        </w:rPr>
        <w:t> </w:t>
      </w:r>
      <w:r>
        <w:rPr>
          <w:color w:val="6B57A1"/>
        </w:rPr>
        <w:t>le</w:t>
      </w:r>
      <w:r>
        <w:rPr>
          <w:color w:val="6B57A1"/>
          <w:spacing w:val="-9"/>
        </w:rPr>
        <w:t> </w:t>
      </w:r>
      <w:r>
        <w:rPr>
          <w:color w:val="6B57A1"/>
        </w:rPr>
        <w:t>dépôt</w:t>
      </w:r>
      <w:r>
        <w:rPr>
          <w:color w:val="6B57A1"/>
          <w:spacing w:val="-8"/>
        </w:rPr>
        <w:t> </w:t>
      </w:r>
      <w:r>
        <w:rPr>
          <w:color w:val="6B57A1"/>
        </w:rPr>
        <w:t>des</w:t>
      </w:r>
      <w:r>
        <w:rPr>
          <w:color w:val="6B57A1"/>
          <w:spacing w:val="-8"/>
        </w:rPr>
        <w:t> </w:t>
      </w:r>
      <w:r>
        <w:rPr>
          <w:color w:val="6B57A1"/>
        </w:rPr>
        <w:t>ordures</w:t>
      </w:r>
      <w:r>
        <w:rPr>
          <w:color w:val="6B57A1"/>
          <w:spacing w:val="-9"/>
        </w:rPr>
        <w:t> </w:t>
      </w:r>
      <w:r>
        <w:rPr>
          <w:color w:val="6B57A1"/>
        </w:rPr>
        <w:t>ménagères</w:t>
      </w:r>
      <w:r>
        <w:rPr>
          <w:color w:val="6B57A1"/>
          <w:spacing w:val="-8"/>
        </w:rPr>
        <w:t> </w:t>
      </w:r>
      <w:r>
        <w:rPr>
          <w:color w:val="6B57A1"/>
        </w:rPr>
        <w:t>avant</w:t>
      </w:r>
      <w:r>
        <w:rPr>
          <w:color w:val="6B57A1"/>
          <w:spacing w:val="-8"/>
        </w:rPr>
        <w:t> </w:t>
      </w:r>
      <w:r>
        <w:rPr>
          <w:color w:val="6B57A1"/>
        </w:rPr>
        <w:t>leur</w:t>
      </w:r>
      <w:r>
        <w:rPr>
          <w:color w:val="6B57A1"/>
          <w:spacing w:val="-8"/>
        </w:rPr>
        <w:t> </w:t>
      </w:r>
      <w:r>
        <w:rPr>
          <w:color w:val="6B57A1"/>
        </w:rPr>
        <w:t>enlève- ment.“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>
          <w:color w:val="6B57A1"/>
        </w:rPr>
        <w:t>Article R*111-3 du code de la construction et de l’habitation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90" w:lineRule="auto"/>
        <w:ind w:left="548" w:right="1016"/>
        <w:jc w:val="both"/>
        <w:rPr>
          <w:rFonts w:ascii="Arial" w:hAnsi="Arial"/>
        </w:rPr>
      </w:pPr>
      <w:r>
        <w:rPr>
          <w:color w:val="6B57A1"/>
        </w:rPr>
        <w:t>“La</w:t>
      </w:r>
      <w:r>
        <w:rPr>
          <w:color w:val="6B57A1"/>
          <w:spacing w:val="-10"/>
        </w:rPr>
        <w:t> </w:t>
      </w:r>
      <w:r>
        <w:rPr>
          <w:color w:val="6B57A1"/>
        </w:rPr>
        <w:t>surface</w:t>
      </w:r>
      <w:r>
        <w:rPr>
          <w:color w:val="6B57A1"/>
          <w:spacing w:val="-9"/>
        </w:rPr>
        <w:t> </w:t>
      </w:r>
      <w:r>
        <w:rPr>
          <w:color w:val="6B57A1"/>
        </w:rPr>
        <w:t>habitable</w:t>
      </w:r>
      <w:r>
        <w:rPr>
          <w:color w:val="6B57A1"/>
          <w:spacing w:val="-9"/>
        </w:rPr>
        <w:t> </w:t>
      </w:r>
      <w:r>
        <w:rPr>
          <w:color w:val="6B57A1"/>
        </w:rPr>
        <w:t>d’un</w:t>
      </w:r>
      <w:r>
        <w:rPr>
          <w:color w:val="6B57A1"/>
          <w:spacing w:val="-9"/>
        </w:rPr>
        <w:t> </w:t>
      </w:r>
      <w:r>
        <w:rPr>
          <w:color w:val="6B57A1"/>
        </w:rPr>
        <w:t>logement</w:t>
      </w:r>
      <w:r>
        <w:rPr>
          <w:color w:val="6B57A1"/>
          <w:spacing w:val="-9"/>
        </w:rPr>
        <w:t> </w:t>
      </w:r>
      <w:r>
        <w:rPr>
          <w:color w:val="6B57A1"/>
        </w:rPr>
        <w:t>est</w:t>
      </w:r>
      <w:r>
        <w:rPr>
          <w:color w:val="6B57A1"/>
          <w:spacing w:val="-9"/>
        </w:rPr>
        <w:t> </w:t>
      </w:r>
      <w:r>
        <w:rPr>
          <w:color w:val="6B57A1"/>
        </w:rPr>
        <w:t>la</w:t>
      </w:r>
      <w:r>
        <w:rPr>
          <w:color w:val="6B57A1"/>
          <w:spacing w:val="-9"/>
        </w:rPr>
        <w:t> </w:t>
      </w:r>
      <w:r>
        <w:rPr>
          <w:color w:val="6B57A1"/>
        </w:rPr>
        <w:t>surface</w:t>
      </w:r>
      <w:r>
        <w:rPr>
          <w:color w:val="6B57A1"/>
          <w:spacing w:val="-9"/>
        </w:rPr>
        <w:t> </w:t>
      </w:r>
      <w:r>
        <w:rPr>
          <w:color w:val="6B57A1"/>
        </w:rPr>
        <w:t>de</w:t>
      </w:r>
      <w:r>
        <w:rPr>
          <w:color w:val="6B57A1"/>
          <w:spacing w:val="-10"/>
        </w:rPr>
        <w:t> </w:t>
      </w:r>
      <w:r>
        <w:rPr>
          <w:color w:val="6B57A1"/>
        </w:rPr>
        <w:t>plancher</w:t>
      </w:r>
      <w:r>
        <w:rPr>
          <w:color w:val="6B57A1"/>
          <w:spacing w:val="-9"/>
        </w:rPr>
        <w:t> </w:t>
      </w:r>
      <w:r>
        <w:rPr>
          <w:color w:val="6B57A1"/>
        </w:rPr>
        <w:t>construite,</w:t>
      </w:r>
      <w:r>
        <w:rPr>
          <w:color w:val="6B57A1"/>
          <w:spacing w:val="-9"/>
        </w:rPr>
        <w:t> </w:t>
      </w:r>
      <w:r>
        <w:rPr>
          <w:color w:val="6B57A1"/>
        </w:rPr>
        <w:t>après</w:t>
      </w:r>
      <w:r>
        <w:rPr>
          <w:color w:val="6B57A1"/>
          <w:spacing w:val="-9"/>
        </w:rPr>
        <w:t> </w:t>
      </w:r>
      <w:r>
        <w:rPr>
          <w:color w:val="6B57A1"/>
        </w:rPr>
        <w:t>déduction</w:t>
      </w:r>
      <w:r>
        <w:rPr>
          <w:color w:val="6B57A1"/>
          <w:spacing w:val="-9"/>
        </w:rPr>
        <w:t> </w:t>
      </w:r>
      <w:r>
        <w:rPr>
          <w:color w:val="6B57A1"/>
        </w:rPr>
        <w:t>des</w:t>
      </w:r>
      <w:r>
        <w:rPr>
          <w:color w:val="6B57A1"/>
          <w:spacing w:val="-9"/>
        </w:rPr>
        <w:t> </w:t>
      </w:r>
      <w:r>
        <w:rPr>
          <w:color w:val="6B57A1"/>
        </w:rPr>
        <w:t>surfaces</w:t>
      </w:r>
      <w:r>
        <w:rPr>
          <w:color w:val="6B57A1"/>
          <w:spacing w:val="-9"/>
        </w:rPr>
        <w:t> </w:t>
      </w:r>
      <w:r>
        <w:rPr>
          <w:color w:val="6B57A1"/>
        </w:rPr>
        <w:t>occupées par</w:t>
      </w:r>
      <w:r>
        <w:rPr>
          <w:color w:val="6B57A1"/>
          <w:spacing w:val="-11"/>
        </w:rPr>
        <w:t> </w:t>
      </w:r>
      <w:r>
        <w:rPr>
          <w:color w:val="6B57A1"/>
        </w:rPr>
        <w:t>les</w:t>
      </w:r>
      <w:r>
        <w:rPr>
          <w:color w:val="6B57A1"/>
          <w:spacing w:val="-11"/>
        </w:rPr>
        <w:t> </w:t>
      </w:r>
      <w:r>
        <w:rPr>
          <w:color w:val="6B57A1"/>
        </w:rPr>
        <w:t>murs,</w:t>
      </w:r>
      <w:r>
        <w:rPr>
          <w:color w:val="6B57A1"/>
          <w:spacing w:val="-11"/>
        </w:rPr>
        <w:t> </w:t>
      </w:r>
      <w:r>
        <w:rPr>
          <w:color w:val="6B57A1"/>
        </w:rPr>
        <w:t>cloisons,</w:t>
      </w:r>
      <w:r>
        <w:rPr>
          <w:color w:val="6B57A1"/>
          <w:spacing w:val="-11"/>
        </w:rPr>
        <w:t> </w:t>
      </w:r>
      <w:r>
        <w:rPr>
          <w:color w:val="6B57A1"/>
        </w:rPr>
        <w:t>marches</w:t>
      </w:r>
      <w:r>
        <w:rPr>
          <w:color w:val="6B57A1"/>
          <w:spacing w:val="-11"/>
        </w:rPr>
        <w:t> </w:t>
      </w:r>
      <w:r>
        <w:rPr>
          <w:color w:val="6B57A1"/>
        </w:rPr>
        <w:t>et</w:t>
      </w:r>
      <w:r>
        <w:rPr>
          <w:color w:val="6B57A1"/>
          <w:spacing w:val="-11"/>
        </w:rPr>
        <w:t> </w:t>
      </w:r>
      <w:r>
        <w:rPr>
          <w:color w:val="6B57A1"/>
        </w:rPr>
        <w:t>cages</w:t>
      </w:r>
      <w:r>
        <w:rPr>
          <w:color w:val="6B57A1"/>
          <w:spacing w:val="-11"/>
        </w:rPr>
        <w:t> </w:t>
      </w:r>
      <w:r>
        <w:rPr>
          <w:color w:val="6B57A1"/>
        </w:rPr>
        <w:t>d’escaliers,</w:t>
      </w:r>
      <w:r>
        <w:rPr>
          <w:color w:val="6B57A1"/>
          <w:spacing w:val="-11"/>
        </w:rPr>
        <w:t> </w:t>
      </w:r>
      <w:r>
        <w:rPr>
          <w:color w:val="6B57A1"/>
        </w:rPr>
        <w:t>gaines,</w:t>
      </w:r>
      <w:r>
        <w:rPr>
          <w:color w:val="6B57A1"/>
          <w:spacing w:val="-11"/>
        </w:rPr>
        <w:t> </w:t>
      </w:r>
      <w:r>
        <w:rPr>
          <w:color w:val="6B57A1"/>
        </w:rPr>
        <w:t>embrasures</w:t>
      </w:r>
      <w:r>
        <w:rPr>
          <w:color w:val="6B57A1"/>
          <w:spacing w:val="-11"/>
        </w:rPr>
        <w:t> </w:t>
      </w:r>
      <w:r>
        <w:rPr>
          <w:color w:val="6B57A1"/>
        </w:rPr>
        <w:t>de</w:t>
      </w:r>
      <w:r>
        <w:rPr>
          <w:color w:val="6B57A1"/>
          <w:spacing w:val="-11"/>
        </w:rPr>
        <w:t> </w:t>
      </w:r>
      <w:r>
        <w:rPr>
          <w:color w:val="6B57A1"/>
        </w:rPr>
        <w:t>portes</w:t>
      </w:r>
      <w:r>
        <w:rPr>
          <w:color w:val="6B57A1"/>
          <w:spacing w:val="-10"/>
        </w:rPr>
        <w:t> </w:t>
      </w:r>
      <w:r>
        <w:rPr>
          <w:color w:val="6B57A1"/>
        </w:rPr>
        <w:t>et</w:t>
      </w:r>
      <w:r>
        <w:rPr>
          <w:color w:val="6B57A1"/>
          <w:spacing w:val="-11"/>
        </w:rPr>
        <w:t> </w:t>
      </w:r>
      <w:r>
        <w:rPr>
          <w:color w:val="6B57A1"/>
        </w:rPr>
        <w:t>de</w:t>
      </w:r>
      <w:r>
        <w:rPr>
          <w:color w:val="6B57A1"/>
          <w:spacing w:val="-11"/>
        </w:rPr>
        <w:t> </w:t>
      </w:r>
      <w:r>
        <w:rPr>
          <w:color w:val="6B57A1"/>
        </w:rPr>
        <w:t>fenêtres</w:t>
      </w:r>
      <w:r>
        <w:rPr>
          <w:color w:val="6B57A1"/>
          <w:spacing w:val="-11"/>
        </w:rPr>
        <w:t> </w:t>
      </w:r>
      <w:r>
        <w:rPr>
          <w:color w:val="6B57A1"/>
        </w:rPr>
        <w:t>;</w:t>
      </w:r>
      <w:r>
        <w:rPr>
          <w:color w:val="6B57A1"/>
          <w:spacing w:val="-11"/>
        </w:rPr>
        <w:t> </w:t>
      </w:r>
      <w:r>
        <w:rPr>
          <w:color w:val="6B57A1"/>
        </w:rPr>
        <w:t>le</w:t>
      </w:r>
      <w:r>
        <w:rPr>
          <w:color w:val="6B57A1"/>
          <w:spacing w:val="-11"/>
        </w:rPr>
        <w:t> </w:t>
      </w:r>
      <w:r>
        <w:rPr>
          <w:color w:val="6B57A1"/>
        </w:rPr>
        <w:t>volume</w:t>
      </w:r>
      <w:r>
        <w:rPr>
          <w:color w:val="6B57A1"/>
          <w:spacing w:val="-11"/>
        </w:rPr>
        <w:t> </w:t>
      </w:r>
      <w:r>
        <w:rPr>
          <w:color w:val="6B57A1"/>
        </w:rPr>
        <w:t>habi- </w:t>
      </w:r>
      <w:r>
        <w:rPr>
          <w:rFonts w:ascii="Arial" w:hAnsi="Arial"/>
          <w:color w:val="6B57A1"/>
        </w:rPr>
        <w:t>table correspond au total des surfaces habitables ainsi définies multipliées par les hauteurs sous</w:t>
      </w:r>
      <w:r>
        <w:rPr>
          <w:rFonts w:ascii="Arial" w:hAnsi="Arial"/>
          <w:color w:val="6B57A1"/>
          <w:spacing w:val="11"/>
        </w:rPr>
        <w:t> </w:t>
      </w:r>
      <w:r>
        <w:rPr>
          <w:rFonts w:ascii="Arial" w:hAnsi="Arial"/>
          <w:color w:val="6B57A1"/>
        </w:rPr>
        <w:t>plafond.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spacing w:line="290" w:lineRule="auto"/>
        <w:ind w:left="548" w:right="774"/>
      </w:pPr>
      <w:r>
        <w:rPr>
          <w:rFonts w:ascii="Arial" w:hAnsi="Arial"/>
          <w:color w:val="6B57A1"/>
        </w:rPr>
        <w:t>Il n’est pas tenu compte de la superficie des combles non aménagés, caves, sous-sols, remises, garages, terrasses, </w:t>
      </w:r>
      <w:r>
        <w:rPr>
          <w:color w:val="6B57A1"/>
        </w:rPr>
        <w:t>loggias,</w:t>
      </w:r>
      <w:r>
        <w:rPr>
          <w:color w:val="6B57A1"/>
          <w:spacing w:val="-14"/>
        </w:rPr>
        <w:t> </w:t>
      </w:r>
      <w:r>
        <w:rPr>
          <w:color w:val="6B57A1"/>
        </w:rPr>
        <w:t>balcons,</w:t>
      </w:r>
      <w:r>
        <w:rPr>
          <w:color w:val="6B57A1"/>
          <w:spacing w:val="-13"/>
        </w:rPr>
        <w:t> </w:t>
      </w:r>
      <w:r>
        <w:rPr>
          <w:color w:val="6B57A1"/>
        </w:rPr>
        <w:t>séchoirs</w:t>
      </w:r>
      <w:r>
        <w:rPr>
          <w:color w:val="6B57A1"/>
          <w:spacing w:val="-13"/>
        </w:rPr>
        <w:t> </w:t>
      </w:r>
      <w:r>
        <w:rPr>
          <w:color w:val="6B57A1"/>
        </w:rPr>
        <w:t>extérieurs</w:t>
      </w:r>
      <w:r>
        <w:rPr>
          <w:color w:val="6B57A1"/>
          <w:spacing w:val="-13"/>
        </w:rPr>
        <w:t> </w:t>
      </w:r>
      <w:r>
        <w:rPr>
          <w:color w:val="6B57A1"/>
        </w:rPr>
        <w:t>au</w:t>
      </w:r>
      <w:r>
        <w:rPr>
          <w:color w:val="6B57A1"/>
          <w:spacing w:val="-13"/>
        </w:rPr>
        <w:t> </w:t>
      </w:r>
      <w:r>
        <w:rPr>
          <w:color w:val="6B57A1"/>
        </w:rPr>
        <w:t>logement,</w:t>
      </w:r>
      <w:r>
        <w:rPr>
          <w:color w:val="6B57A1"/>
          <w:spacing w:val="-13"/>
        </w:rPr>
        <w:t> </w:t>
      </w:r>
      <w:r>
        <w:rPr>
          <w:color w:val="6B57A1"/>
        </w:rPr>
        <w:t>vérandas,</w:t>
      </w:r>
      <w:r>
        <w:rPr>
          <w:color w:val="6B57A1"/>
          <w:spacing w:val="-13"/>
        </w:rPr>
        <w:t> </w:t>
      </w:r>
      <w:r>
        <w:rPr>
          <w:color w:val="6B57A1"/>
        </w:rPr>
        <w:t>volumes</w:t>
      </w:r>
      <w:r>
        <w:rPr>
          <w:color w:val="6B57A1"/>
          <w:spacing w:val="-13"/>
        </w:rPr>
        <w:t> </w:t>
      </w:r>
      <w:r>
        <w:rPr>
          <w:color w:val="6B57A1"/>
        </w:rPr>
        <w:t>vitrés</w:t>
      </w:r>
      <w:r>
        <w:rPr>
          <w:color w:val="6B57A1"/>
          <w:spacing w:val="-13"/>
        </w:rPr>
        <w:t> </w:t>
      </w:r>
      <w:r>
        <w:rPr>
          <w:color w:val="6B57A1"/>
        </w:rPr>
        <w:t>prévus</w:t>
      </w:r>
      <w:r>
        <w:rPr>
          <w:color w:val="6B57A1"/>
          <w:spacing w:val="-13"/>
        </w:rPr>
        <w:t> </w:t>
      </w:r>
      <w:r>
        <w:rPr>
          <w:color w:val="6B57A1"/>
        </w:rPr>
        <w:t>à</w:t>
      </w:r>
      <w:r>
        <w:rPr>
          <w:color w:val="6B57A1"/>
          <w:spacing w:val="-13"/>
        </w:rPr>
        <w:t> </w:t>
      </w:r>
      <w:r>
        <w:rPr>
          <w:color w:val="6B57A1"/>
        </w:rPr>
        <w:t>l’article</w:t>
      </w:r>
      <w:r>
        <w:rPr>
          <w:color w:val="6B57A1"/>
          <w:spacing w:val="-13"/>
        </w:rPr>
        <w:t> </w:t>
      </w:r>
      <w:r>
        <w:rPr>
          <w:color w:val="6B57A1"/>
        </w:rPr>
        <w:t>R*.</w:t>
      </w:r>
      <w:r>
        <w:rPr>
          <w:color w:val="6B57A1"/>
          <w:spacing w:val="-13"/>
        </w:rPr>
        <w:t> </w:t>
      </w:r>
      <w:r>
        <w:rPr>
          <w:color w:val="6B57A1"/>
        </w:rPr>
        <w:t>111-10,</w:t>
      </w:r>
      <w:r>
        <w:rPr>
          <w:color w:val="6B57A1"/>
          <w:spacing w:val="-13"/>
        </w:rPr>
        <w:t> </w:t>
      </w:r>
      <w:r>
        <w:rPr>
          <w:color w:val="6B57A1"/>
        </w:rPr>
        <w:t>locaux</w:t>
      </w:r>
      <w:r>
        <w:rPr>
          <w:color w:val="6B57A1"/>
          <w:spacing w:val="-13"/>
        </w:rPr>
        <w:t> </w:t>
      </w:r>
      <w:r>
        <w:rPr>
          <w:color w:val="6B57A1"/>
        </w:rPr>
        <w:t>com- muns</w:t>
      </w:r>
      <w:r>
        <w:rPr>
          <w:color w:val="6B57A1"/>
          <w:spacing w:val="-8"/>
        </w:rPr>
        <w:t> </w:t>
      </w:r>
      <w:r>
        <w:rPr>
          <w:color w:val="6B57A1"/>
        </w:rPr>
        <w:t>et</w:t>
      </w:r>
      <w:r>
        <w:rPr>
          <w:color w:val="6B57A1"/>
          <w:spacing w:val="-7"/>
        </w:rPr>
        <w:t> </w:t>
      </w:r>
      <w:r>
        <w:rPr>
          <w:color w:val="6B57A1"/>
        </w:rPr>
        <w:t>autres</w:t>
      </w:r>
      <w:r>
        <w:rPr>
          <w:color w:val="6B57A1"/>
          <w:spacing w:val="-7"/>
        </w:rPr>
        <w:t> </w:t>
      </w:r>
      <w:r>
        <w:rPr>
          <w:color w:val="6B57A1"/>
        </w:rPr>
        <w:t>dépendances</w:t>
      </w:r>
      <w:r>
        <w:rPr>
          <w:color w:val="6B57A1"/>
          <w:spacing w:val="-7"/>
        </w:rPr>
        <w:t> </w:t>
      </w:r>
      <w:r>
        <w:rPr>
          <w:color w:val="6B57A1"/>
        </w:rPr>
        <w:t>des</w:t>
      </w:r>
      <w:r>
        <w:rPr>
          <w:color w:val="6B57A1"/>
          <w:spacing w:val="-8"/>
        </w:rPr>
        <w:t> </w:t>
      </w:r>
      <w:r>
        <w:rPr>
          <w:color w:val="6B57A1"/>
        </w:rPr>
        <w:t>logements,</w:t>
      </w:r>
      <w:r>
        <w:rPr>
          <w:color w:val="6B57A1"/>
          <w:spacing w:val="-7"/>
        </w:rPr>
        <w:t> </w:t>
      </w:r>
      <w:r>
        <w:rPr>
          <w:color w:val="6B57A1"/>
        </w:rPr>
        <w:t>ni</w:t>
      </w:r>
      <w:r>
        <w:rPr>
          <w:color w:val="6B57A1"/>
          <w:spacing w:val="-7"/>
        </w:rPr>
        <w:t> </w:t>
      </w:r>
      <w:r>
        <w:rPr>
          <w:color w:val="6B57A1"/>
        </w:rPr>
        <w:t>des</w:t>
      </w:r>
      <w:r>
        <w:rPr>
          <w:color w:val="6B57A1"/>
          <w:spacing w:val="-7"/>
        </w:rPr>
        <w:t> </w:t>
      </w:r>
      <w:r>
        <w:rPr>
          <w:color w:val="6B57A1"/>
        </w:rPr>
        <w:t>parties</w:t>
      </w:r>
      <w:r>
        <w:rPr>
          <w:color w:val="6B57A1"/>
          <w:spacing w:val="-8"/>
        </w:rPr>
        <w:t> </w:t>
      </w:r>
      <w:r>
        <w:rPr>
          <w:color w:val="6B57A1"/>
        </w:rPr>
        <w:t>de</w:t>
      </w:r>
      <w:r>
        <w:rPr>
          <w:color w:val="6B57A1"/>
          <w:spacing w:val="-7"/>
        </w:rPr>
        <w:t> </w:t>
      </w:r>
      <w:r>
        <w:rPr>
          <w:color w:val="6B57A1"/>
        </w:rPr>
        <w:t>locaux</w:t>
      </w:r>
      <w:r>
        <w:rPr>
          <w:color w:val="6B57A1"/>
          <w:spacing w:val="-7"/>
        </w:rPr>
        <w:t> </w:t>
      </w:r>
      <w:r>
        <w:rPr>
          <w:color w:val="6B57A1"/>
        </w:rPr>
        <w:t>d’une</w:t>
      </w:r>
      <w:r>
        <w:rPr>
          <w:color w:val="6B57A1"/>
          <w:spacing w:val="-7"/>
        </w:rPr>
        <w:t> </w:t>
      </w:r>
      <w:r>
        <w:rPr>
          <w:color w:val="6B57A1"/>
        </w:rPr>
        <w:t>hauteur</w:t>
      </w:r>
      <w:r>
        <w:rPr>
          <w:color w:val="6B57A1"/>
          <w:spacing w:val="-8"/>
        </w:rPr>
        <w:t> </w:t>
      </w:r>
      <w:r>
        <w:rPr>
          <w:color w:val="6B57A1"/>
        </w:rPr>
        <w:t>inférieure</w:t>
      </w:r>
      <w:r>
        <w:rPr>
          <w:color w:val="6B57A1"/>
          <w:spacing w:val="-7"/>
        </w:rPr>
        <w:t> </w:t>
      </w:r>
      <w:r>
        <w:rPr>
          <w:color w:val="6B57A1"/>
        </w:rPr>
        <w:t>à</w:t>
      </w:r>
      <w:r>
        <w:rPr>
          <w:color w:val="6B57A1"/>
          <w:spacing w:val="-7"/>
        </w:rPr>
        <w:t> </w:t>
      </w:r>
      <w:r>
        <w:rPr>
          <w:color w:val="6B57A1"/>
        </w:rPr>
        <w:t>1,80</w:t>
      </w:r>
      <w:r>
        <w:rPr>
          <w:color w:val="6B57A1"/>
          <w:spacing w:val="-7"/>
        </w:rPr>
        <w:t> </w:t>
      </w:r>
      <w:r>
        <w:rPr>
          <w:color w:val="6B57A1"/>
        </w:rPr>
        <w:t>mètre.“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>
          <w:color w:val="6B57A1"/>
          <w:w w:val="105"/>
        </w:rPr>
        <w:t>Article 4 du décret n°2016-382 du 30 mars 2016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BodyText"/>
        <w:spacing w:line="290" w:lineRule="auto" w:before="1"/>
        <w:ind w:left="548" w:right="774"/>
      </w:pPr>
      <w:r>
        <w:rPr>
          <w:rFonts w:ascii="Arial" w:hAnsi="Arial"/>
          <w:color w:val="6B57A1"/>
        </w:rPr>
        <w:t>“La vétusté est définie comme l’état d’usure ou de détérioration résultant du temps ou de l’usage normal des maté</w:t>
      </w:r>
      <w:r>
        <w:rPr>
          <w:color w:val="6B57A1"/>
        </w:rPr>
        <w:t>- riaux et éléments d’équipement dont est constitué le logement.</w:t>
      </w:r>
    </w:p>
    <w:p>
      <w:pPr>
        <w:pStyle w:val="BodyText"/>
        <w:spacing w:line="290" w:lineRule="auto"/>
        <w:ind w:left="548" w:right="791"/>
      </w:pPr>
      <w:r>
        <w:rPr>
          <w:color w:val="6B57A1"/>
        </w:rPr>
        <w:t>Les</w:t>
      </w:r>
      <w:r>
        <w:rPr>
          <w:color w:val="6B57A1"/>
          <w:spacing w:val="-11"/>
        </w:rPr>
        <w:t> </w:t>
      </w:r>
      <w:r>
        <w:rPr>
          <w:color w:val="6B57A1"/>
        </w:rPr>
        <w:t>parties</w:t>
      </w:r>
      <w:r>
        <w:rPr>
          <w:color w:val="6B57A1"/>
          <w:spacing w:val="-11"/>
        </w:rPr>
        <w:t> </w:t>
      </w:r>
      <w:r>
        <w:rPr>
          <w:color w:val="6B57A1"/>
        </w:rPr>
        <w:t>au</w:t>
      </w:r>
      <w:r>
        <w:rPr>
          <w:color w:val="6B57A1"/>
          <w:spacing w:val="-11"/>
        </w:rPr>
        <w:t> </w:t>
      </w:r>
      <w:r>
        <w:rPr>
          <w:color w:val="6B57A1"/>
        </w:rPr>
        <w:t>contrat</w:t>
      </w:r>
      <w:r>
        <w:rPr>
          <w:color w:val="6B57A1"/>
          <w:spacing w:val="-11"/>
        </w:rPr>
        <w:t> </w:t>
      </w:r>
      <w:r>
        <w:rPr>
          <w:color w:val="6B57A1"/>
        </w:rPr>
        <w:t>de</w:t>
      </w:r>
      <w:r>
        <w:rPr>
          <w:color w:val="6B57A1"/>
          <w:spacing w:val="-10"/>
        </w:rPr>
        <w:t> </w:t>
      </w:r>
      <w:r>
        <w:rPr>
          <w:color w:val="6B57A1"/>
        </w:rPr>
        <w:t>location</w:t>
      </w:r>
      <w:r>
        <w:rPr>
          <w:color w:val="6B57A1"/>
          <w:spacing w:val="-11"/>
        </w:rPr>
        <w:t> </w:t>
      </w:r>
      <w:r>
        <w:rPr>
          <w:color w:val="6B57A1"/>
        </w:rPr>
        <w:t>peuvent</w:t>
      </w:r>
      <w:r>
        <w:rPr>
          <w:color w:val="6B57A1"/>
          <w:spacing w:val="-11"/>
        </w:rPr>
        <w:t> </w:t>
      </w:r>
      <w:r>
        <w:rPr>
          <w:color w:val="6B57A1"/>
        </w:rPr>
        <w:t>convenir</w:t>
      </w:r>
      <w:r>
        <w:rPr>
          <w:color w:val="6B57A1"/>
          <w:spacing w:val="-11"/>
        </w:rPr>
        <w:t> </w:t>
      </w:r>
      <w:r>
        <w:rPr>
          <w:color w:val="6B57A1"/>
        </w:rPr>
        <w:t>de</w:t>
      </w:r>
      <w:r>
        <w:rPr>
          <w:color w:val="6B57A1"/>
          <w:spacing w:val="-11"/>
        </w:rPr>
        <w:t> </w:t>
      </w:r>
      <w:r>
        <w:rPr>
          <w:color w:val="6B57A1"/>
        </w:rPr>
        <w:t>l’application</w:t>
      </w:r>
      <w:r>
        <w:rPr>
          <w:color w:val="6B57A1"/>
          <w:spacing w:val="-10"/>
        </w:rPr>
        <w:t> </w:t>
      </w:r>
      <w:r>
        <w:rPr>
          <w:color w:val="6B57A1"/>
        </w:rPr>
        <w:t>d’une</w:t>
      </w:r>
      <w:r>
        <w:rPr>
          <w:color w:val="6B57A1"/>
          <w:spacing w:val="-11"/>
        </w:rPr>
        <w:t> </w:t>
      </w:r>
      <w:r>
        <w:rPr>
          <w:color w:val="6B57A1"/>
        </w:rPr>
        <w:t>grille</w:t>
      </w:r>
      <w:r>
        <w:rPr>
          <w:color w:val="6B57A1"/>
          <w:spacing w:val="-11"/>
        </w:rPr>
        <w:t> </w:t>
      </w:r>
      <w:r>
        <w:rPr>
          <w:color w:val="6B57A1"/>
        </w:rPr>
        <w:t>de</w:t>
      </w:r>
      <w:r>
        <w:rPr>
          <w:color w:val="6B57A1"/>
          <w:spacing w:val="-11"/>
        </w:rPr>
        <w:t> </w:t>
      </w:r>
      <w:r>
        <w:rPr>
          <w:color w:val="6B57A1"/>
        </w:rPr>
        <w:t>vétusté</w:t>
      </w:r>
      <w:r>
        <w:rPr>
          <w:color w:val="6B57A1"/>
          <w:spacing w:val="-11"/>
        </w:rPr>
        <w:t> </w:t>
      </w:r>
      <w:r>
        <w:rPr>
          <w:color w:val="6B57A1"/>
        </w:rPr>
        <w:t>dès</w:t>
      </w:r>
      <w:r>
        <w:rPr>
          <w:color w:val="6B57A1"/>
          <w:spacing w:val="-10"/>
        </w:rPr>
        <w:t> </w:t>
      </w:r>
      <w:r>
        <w:rPr>
          <w:color w:val="6B57A1"/>
        </w:rPr>
        <w:t>la</w:t>
      </w:r>
      <w:r>
        <w:rPr>
          <w:color w:val="6B57A1"/>
          <w:spacing w:val="-11"/>
        </w:rPr>
        <w:t> </w:t>
      </w:r>
      <w:r>
        <w:rPr>
          <w:color w:val="6B57A1"/>
        </w:rPr>
        <w:t>signature</w:t>
      </w:r>
      <w:r>
        <w:rPr>
          <w:color w:val="6B57A1"/>
          <w:spacing w:val="-11"/>
        </w:rPr>
        <w:t> </w:t>
      </w:r>
      <w:r>
        <w:rPr>
          <w:color w:val="6B57A1"/>
        </w:rPr>
        <w:t>du</w:t>
      </w:r>
      <w:r>
        <w:rPr>
          <w:color w:val="6B57A1"/>
          <w:spacing w:val="-11"/>
        </w:rPr>
        <w:t> </w:t>
      </w:r>
      <w:r>
        <w:rPr>
          <w:color w:val="6B57A1"/>
        </w:rPr>
        <w:t>bail, choisie</w:t>
      </w:r>
      <w:r>
        <w:rPr>
          <w:color w:val="6B57A1"/>
          <w:spacing w:val="-20"/>
        </w:rPr>
        <w:t> </w:t>
      </w:r>
      <w:r>
        <w:rPr>
          <w:color w:val="6B57A1"/>
        </w:rPr>
        <w:t>parmi</w:t>
      </w:r>
      <w:r>
        <w:rPr>
          <w:color w:val="6B57A1"/>
          <w:spacing w:val="-19"/>
        </w:rPr>
        <w:t> </w:t>
      </w:r>
      <w:r>
        <w:rPr>
          <w:color w:val="6B57A1"/>
        </w:rPr>
        <w:t>celles</w:t>
      </w:r>
      <w:r>
        <w:rPr>
          <w:color w:val="6B57A1"/>
          <w:spacing w:val="-19"/>
        </w:rPr>
        <w:t> </w:t>
      </w:r>
      <w:r>
        <w:rPr>
          <w:color w:val="6B57A1"/>
        </w:rPr>
        <w:t>ayant</w:t>
      </w:r>
      <w:r>
        <w:rPr>
          <w:color w:val="6B57A1"/>
          <w:spacing w:val="-20"/>
        </w:rPr>
        <w:t> </w:t>
      </w:r>
      <w:r>
        <w:rPr>
          <w:color w:val="6B57A1"/>
        </w:rPr>
        <w:t>fait</w:t>
      </w:r>
      <w:r>
        <w:rPr>
          <w:color w:val="6B57A1"/>
          <w:spacing w:val="-19"/>
        </w:rPr>
        <w:t> </w:t>
      </w:r>
      <w:r>
        <w:rPr>
          <w:color w:val="6B57A1"/>
        </w:rPr>
        <w:t>l’objet</w:t>
      </w:r>
      <w:r>
        <w:rPr>
          <w:color w:val="6B57A1"/>
          <w:spacing w:val="-19"/>
        </w:rPr>
        <w:t> </w:t>
      </w:r>
      <w:r>
        <w:rPr>
          <w:color w:val="6B57A1"/>
        </w:rPr>
        <w:t>d’un</w:t>
      </w:r>
      <w:r>
        <w:rPr>
          <w:color w:val="6B57A1"/>
          <w:spacing w:val="-19"/>
        </w:rPr>
        <w:t> </w:t>
      </w:r>
      <w:r>
        <w:rPr>
          <w:color w:val="6B57A1"/>
        </w:rPr>
        <w:t>accord</w:t>
      </w:r>
      <w:r>
        <w:rPr>
          <w:color w:val="6B57A1"/>
          <w:spacing w:val="-20"/>
        </w:rPr>
        <w:t> </w:t>
      </w:r>
      <w:r>
        <w:rPr>
          <w:color w:val="6B57A1"/>
        </w:rPr>
        <w:t>collectif</w:t>
      </w:r>
      <w:r>
        <w:rPr>
          <w:color w:val="6B57A1"/>
          <w:spacing w:val="-19"/>
        </w:rPr>
        <w:t> </w:t>
      </w:r>
      <w:r>
        <w:rPr>
          <w:color w:val="6B57A1"/>
        </w:rPr>
        <w:t>de</w:t>
      </w:r>
      <w:r>
        <w:rPr>
          <w:color w:val="6B57A1"/>
          <w:spacing w:val="-19"/>
        </w:rPr>
        <w:t> </w:t>
      </w:r>
      <w:r>
        <w:rPr>
          <w:color w:val="6B57A1"/>
        </w:rPr>
        <w:t>location</w:t>
      </w:r>
      <w:r>
        <w:rPr>
          <w:color w:val="6B57A1"/>
          <w:spacing w:val="-19"/>
        </w:rPr>
        <w:t> </w:t>
      </w:r>
      <w:r>
        <w:rPr>
          <w:color w:val="6B57A1"/>
        </w:rPr>
        <w:t>conclu</w:t>
      </w:r>
      <w:r>
        <w:rPr>
          <w:color w:val="6B57A1"/>
          <w:spacing w:val="-20"/>
        </w:rPr>
        <w:t> </w:t>
      </w:r>
      <w:r>
        <w:rPr>
          <w:color w:val="6B57A1"/>
        </w:rPr>
        <w:t>conformément</w:t>
      </w:r>
      <w:r>
        <w:rPr>
          <w:color w:val="6B57A1"/>
          <w:spacing w:val="-19"/>
        </w:rPr>
        <w:t> </w:t>
      </w:r>
      <w:r>
        <w:rPr>
          <w:color w:val="6B57A1"/>
        </w:rPr>
        <w:t>à</w:t>
      </w:r>
      <w:r>
        <w:rPr>
          <w:color w:val="6B57A1"/>
          <w:spacing w:val="-19"/>
        </w:rPr>
        <w:t> </w:t>
      </w:r>
      <w:r>
        <w:rPr>
          <w:color w:val="6B57A1"/>
        </w:rPr>
        <w:t>l’article</w:t>
      </w:r>
      <w:r>
        <w:rPr>
          <w:color w:val="6B57A1"/>
          <w:spacing w:val="-19"/>
        </w:rPr>
        <w:t> </w:t>
      </w:r>
      <w:r>
        <w:rPr>
          <w:color w:val="6B57A1"/>
        </w:rPr>
        <w:t>41</w:t>
      </w:r>
      <w:r>
        <w:rPr>
          <w:color w:val="6B57A1"/>
          <w:spacing w:val="-20"/>
        </w:rPr>
        <w:t> </w:t>
      </w:r>
      <w:r>
        <w:rPr>
          <w:color w:val="6B57A1"/>
        </w:rPr>
        <w:t>ter</w:t>
      </w:r>
      <w:r>
        <w:rPr>
          <w:color w:val="6B57A1"/>
          <w:spacing w:val="-19"/>
        </w:rPr>
        <w:t> </w:t>
      </w:r>
      <w:r>
        <w:rPr>
          <w:color w:val="6B57A1"/>
        </w:rPr>
        <w:t>de</w:t>
      </w:r>
      <w:r>
        <w:rPr>
          <w:color w:val="6B57A1"/>
          <w:spacing w:val="-19"/>
        </w:rPr>
        <w:t> </w:t>
      </w:r>
      <w:r>
        <w:rPr>
          <w:color w:val="6B57A1"/>
        </w:rPr>
        <w:t>la</w:t>
      </w:r>
      <w:r>
        <w:rPr>
          <w:color w:val="6B57A1"/>
          <w:spacing w:val="-19"/>
        </w:rPr>
        <w:t> </w:t>
      </w:r>
      <w:r>
        <w:rPr>
          <w:color w:val="6B57A1"/>
        </w:rPr>
        <w:t>loi du</w:t>
      </w:r>
      <w:r>
        <w:rPr>
          <w:color w:val="6B57A1"/>
          <w:spacing w:val="-6"/>
        </w:rPr>
        <w:t> </w:t>
      </w:r>
      <w:r>
        <w:rPr>
          <w:color w:val="6B57A1"/>
        </w:rPr>
        <w:t>23</w:t>
      </w:r>
      <w:r>
        <w:rPr>
          <w:color w:val="6B57A1"/>
          <w:spacing w:val="-6"/>
        </w:rPr>
        <w:t> </w:t>
      </w:r>
      <w:r>
        <w:rPr>
          <w:color w:val="6B57A1"/>
        </w:rPr>
        <w:t>décembre</w:t>
      </w:r>
      <w:r>
        <w:rPr>
          <w:color w:val="6B57A1"/>
          <w:spacing w:val="-5"/>
        </w:rPr>
        <w:t> </w:t>
      </w:r>
      <w:r>
        <w:rPr>
          <w:color w:val="6B57A1"/>
        </w:rPr>
        <w:t>1986</w:t>
      </w:r>
      <w:r>
        <w:rPr>
          <w:color w:val="6B57A1"/>
          <w:spacing w:val="-6"/>
        </w:rPr>
        <w:t> </w:t>
      </w:r>
      <w:r>
        <w:rPr>
          <w:color w:val="6B57A1"/>
        </w:rPr>
        <w:t>susvisée,</w:t>
      </w:r>
      <w:r>
        <w:rPr>
          <w:color w:val="6B57A1"/>
          <w:spacing w:val="-6"/>
        </w:rPr>
        <w:t> </w:t>
      </w:r>
      <w:r>
        <w:rPr>
          <w:color w:val="6B57A1"/>
        </w:rPr>
        <w:t>même</w:t>
      </w:r>
      <w:r>
        <w:rPr>
          <w:color w:val="6B57A1"/>
          <w:spacing w:val="-5"/>
        </w:rPr>
        <w:t> </w:t>
      </w:r>
      <w:r>
        <w:rPr>
          <w:color w:val="6B57A1"/>
        </w:rPr>
        <w:t>si</w:t>
      </w:r>
      <w:r>
        <w:rPr>
          <w:color w:val="6B57A1"/>
          <w:spacing w:val="-6"/>
        </w:rPr>
        <w:t> </w:t>
      </w:r>
      <w:r>
        <w:rPr>
          <w:color w:val="6B57A1"/>
        </w:rPr>
        <w:t>le</w:t>
      </w:r>
      <w:r>
        <w:rPr>
          <w:color w:val="6B57A1"/>
          <w:spacing w:val="-6"/>
        </w:rPr>
        <w:t> </w:t>
      </w:r>
      <w:r>
        <w:rPr>
          <w:color w:val="6B57A1"/>
        </w:rPr>
        <w:t>logement</w:t>
      </w:r>
      <w:r>
        <w:rPr>
          <w:color w:val="6B57A1"/>
          <w:spacing w:val="-5"/>
        </w:rPr>
        <w:t> </w:t>
      </w:r>
      <w:r>
        <w:rPr>
          <w:color w:val="6B57A1"/>
        </w:rPr>
        <w:t>en</w:t>
      </w:r>
      <w:r>
        <w:rPr>
          <w:color w:val="6B57A1"/>
          <w:spacing w:val="-6"/>
        </w:rPr>
        <w:t> </w:t>
      </w:r>
      <w:r>
        <w:rPr>
          <w:color w:val="6B57A1"/>
        </w:rPr>
        <w:t>cause</w:t>
      </w:r>
      <w:r>
        <w:rPr>
          <w:color w:val="6B57A1"/>
          <w:spacing w:val="-6"/>
        </w:rPr>
        <w:t> </w:t>
      </w:r>
      <w:r>
        <w:rPr>
          <w:color w:val="6B57A1"/>
        </w:rPr>
        <w:t>ne</w:t>
      </w:r>
      <w:r>
        <w:rPr>
          <w:color w:val="6B57A1"/>
          <w:spacing w:val="-5"/>
        </w:rPr>
        <w:t> </w:t>
      </w:r>
      <w:r>
        <w:rPr>
          <w:color w:val="6B57A1"/>
        </w:rPr>
        <w:t>relève</w:t>
      </w:r>
      <w:r>
        <w:rPr>
          <w:color w:val="6B57A1"/>
          <w:spacing w:val="-6"/>
        </w:rPr>
        <w:t> </w:t>
      </w:r>
      <w:r>
        <w:rPr>
          <w:color w:val="6B57A1"/>
        </w:rPr>
        <w:t>pas</w:t>
      </w:r>
      <w:r>
        <w:rPr>
          <w:color w:val="6B57A1"/>
          <w:spacing w:val="-6"/>
        </w:rPr>
        <w:t> </w:t>
      </w:r>
      <w:r>
        <w:rPr>
          <w:color w:val="6B57A1"/>
        </w:rPr>
        <w:t>du</w:t>
      </w:r>
      <w:r>
        <w:rPr>
          <w:color w:val="6B57A1"/>
          <w:spacing w:val="-5"/>
        </w:rPr>
        <w:t> </w:t>
      </w:r>
      <w:r>
        <w:rPr>
          <w:color w:val="6B57A1"/>
        </w:rPr>
        <w:t>secteur</w:t>
      </w:r>
      <w:r>
        <w:rPr>
          <w:color w:val="6B57A1"/>
          <w:spacing w:val="-6"/>
        </w:rPr>
        <w:t> </w:t>
      </w:r>
      <w:r>
        <w:rPr>
          <w:color w:val="6B57A1"/>
        </w:rPr>
        <w:t>locatif</w:t>
      </w:r>
      <w:r>
        <w:rPr>
          <w:color w:val="6B57A1"/>
          <w:spacing w:val="-6"/>
        </w:rPr>
        <w:t> </w:t>
      </w:r>
      <w:r>
        <w:rPr>
          <w:color w:val="6B57A1"/>
        </w:rPr>
        <w:t>régi</w:t>
      </w:r>
      <w:r>
        <w:rPr>
          <w:color w:val="6B57A1"/>
          <w:spacing w:val="-5"/>
        </w:rPr>
        <w:t> </w:t>
      </w:r>
      <w:r>
        <w:rPr>
          <w:color w:val="6B57A1"/>
        </w:rPr>
        <w:t>par</w:t>
      </w:r>
      <w:r>
        <w:rPr>
          <w:color w:val="6B57A1"/>
          <w:spacing w:val="-6"/>
        </w:rPr>
        <w:t> </w:t>
      </w:r>
      <w:r>
        <w:rPr>
          <w:color w:val="6B57A1"/>
        </w:rPr>
        <w:t>l’accord.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90" w:lineRule="auto" w:before="1"/>
        <w:ind w:left="548" w:right="798"/>
      </w:pPr>
      <w:r>
        <w:rPr>
          <w:color w:val="6B57A1"/>
        </w:rPr>
        <w:t>Les</w:t>
      </w:r>
      <w:r>
        <w:rPr>
          <w:color w:val="6B57A1"/>
          <w:spacing w:val="-17"/>
        </w:rPr>
        <w:t> </w:t>
      </w:r>
      <w:r>
        <w:rPr>
          <w:color w:val="6B57A1"/>
        </w:rPr>
        <w:t>parties</w:t>
      </w:r>
      <w:r>
        <w:rPr>
          <w:color w:val="6B57A1"/>
          <w:spacing w:val="-16"/>
        </w:rPr>
        <w:t> </w:t>
      </w:r>
      <w:r>
        <w:rPr>
          <w:color w:val="6B57A1"/>
        </w:rPr>
        <w:t>peuvent</w:t>
      </w:r>
      <w:r>
        <w:rPr>
          <w:color w:val="6B57A1"/>
          <w:spacing w:val="-17"/>
        </w:rPr>
        <w:t> </w:t>
      </w:r>
      <w:r>
        <w:rPr>
          <w:color w:val="6B57A1"/>
        </w:rPr>
        <w:t>également</w:t>
      </w:r>
      <w:r>
        <w:rPr>
          <w:color w:val="6B57A1"/>
          <w:spacing w:val="-16"/>
        </w:rPr>
        <w:t> </w:t>
      </w:r>
      <w:r>
        <w:rPr>
          <w:color w:val="6B57A1"/>
        </w:rPr>
        <w:t>convenir</w:t>
      </w:r>
      <w:r>
        <w:rPr>
          <w:color w:val="6B57A1"/>
          <w:spacing w:val="-17"/>
        </w:rPr>
        <w:t> </w:t>
      </w:r>
      <w:r>
        <w:rPr>
          <w:color w:val="6B57A1"/>
        </w:rPr>
        <w:t>de</w:t>
      </w:r>
      <w:r>
        <w:rPr>
          <w:color w:val="6B57A1"/>
          <w:spacing w:val="-16"/>
        </w:rPr>
        <w:t> </w:t>
      </w:r>
      <w:r>
        <w:rPr>
          <w:color w:val="6B57A1"/>
        </w:rPr>
        <w:t>l’application</w:t>
      </w:r>
      <w:r>
        <w:rPr>
          <w:color w:val="6B57A1"/>
          <w:spacing w:val="-17"/>
        </w:rPr>
        <w:t> </w:t>
      </w:r>
      <w:r>
        <w:rPr>
          <w:color w:val="6B57A1"/>
        </w:rPr>
        <w:t>d’une</w:t>
      </w:r>
      <w:r>
        <w:rPr>
          <w:color w:val="6B57A1"/>
          <w:spacing w:val="-16"/>
        </w:rPr>
        <w:t> </w:t>
      </w:r>
      <w:r>
        <w:rPr>
          <w:color w:val="6B57A1"/>
        </w:rPr>
        <w:t>grille</w:t>
      </w:r>
      <w:r>
        <w:rPr>
          <w:color w:val="6B57A1"/>
          <w:spacing w:val="-16"/>
        </w:rPr>
        <w:t> </w:t>
      </w:r>
      <w:r>
        <w:rPr>
          <w:color w:val="6B57A1"/>
        </w:rPr>
        <w:t>de</w:t>
      </w:r>
      <w:r>
        <w:rPr>
          <w:color w:val="6B57A1"/>
          <w:spacing w:val="-17"/>
        </w:rPr>
        <w:t> </w:t>
      </w:r>
      <w:r>
        <w:rPr>
          <w:color w:val="6B57A1"/>
        </w:rPr>
        <w:t>vétusté</w:t>
      </w:r>
      <w:r>
        <w:rPr>
          <w:color w:val="6B57A1"/>
          <w:spacing w:val="-16"/>
        </w:rPr>
        <w:t> </w:t>
      </w:r>
      <w:r>
        <w:rPr>
          <w:color w:val="6B57A1"/>
        </w:rPr>
        <w:t>choisie</w:t>
      </w:r>
      <w:r>
        <w:rPr>
          <w:color w:val="6B57A1"/>
          <w:spacing w:val="-17"/>
        </w:rPr>
        <w:t> </w:t>
      </w:r>
      <w:r>
        <w:rPr>
          <w:color w:val="6B57A1"/>
        </w:rPr>
        <w:t>parmi</w:t>
      </w:r>
      <w:r>
        <w:rPr>
          <w:color w:val="6B57A1"/>
          <w:spacing w:val="-16"/>
        </w:rPr>
        <w:t> </w:t>
      </w:r>
      <w:r>
        <w:rPr>
          <w:color w:val="6B57A1"/>
        </w:rPr>
        <w:t>celles</w:t>
      </w:r>
      <w:r>
        <w:rPr>
          <w:color w:val="6B57A1"/>
          <w:spacing w:val="-17"/>
        </w:rPr>
        <w:t> </w:t>
      </w:r>
      <w:r>
        <w:rPr>
          <w:color w:val="6B57A1"/>
        </w:rPr>
        <w:t>ayant</w:t>
      </w:r>
      <w:r>
        <w:rPr>
          <w:color w:val="6B57A1"/>
          <w:spacing w:val="-16"/>
        </w:rPr>
        <w:t> </w:t>
      </w:r>
      <w:r>
        <w:rPr>
          <w:color w:val="6B57A1"/>
        </w:rPr>
        <w:t>fait</w:t>
      </w:r>
      <w:r>
        <w:rPr>
          <w:color w:val="6B57A1"/>
          <w:spacing w:val="-17"/>
        </w:rPr>
        <w:t> </w:t>
      </w:r>
      <w:r>
        <w:rPr>
          <w:color w:val="6B57A1"/>
        </w:rPr>
        <w:t>l’objet d’un accord collectif local conclu en application de l’article 42 de la même loi, même si le logement en cause ne relève pas du patrimoine régi par</w:t>
      </w:r>
      <w:r>
        <w:rPr>
          <w:color w:val="6B57A1"/>
          <w:spacing w:val="-33"/>
        </w:rPr>
        <w:t> </w:t>
      </w:r>
      <w:r>
        <w:rPr>
          <w:color w:val="6B57A1"/>
        </w:rPr>
        <w:t>l’accord.“</w:t>
      </w:r>
    </w:p>
    <w:sectPr>
      <w:pgSz w:w="11910" w:h="16840"/>
      <w:pgMar w:top="1060" w:bottom="280" w:left="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48" w:hanging="212"/>
        <w:jc w:val="left"/>
      </w:pPr>
      <w:rPr>
        <w:rFonts w:hint="default" w:ascii="Trebuchet MS" w:hAnsi="Trebuchet MS" w:eastAsia="Trebuchet MS" w:cs="Trebuchet MS"/>
        <w:color w:val="6B57A1"/>
        <w:w w:val="87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656" w:hanging="21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773" w:hanging="21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89" w:hanging="21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006" w:hanging="21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122" w:hanging="21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239" w:hanging="21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355" w:hanging="21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472" w:hanging="212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548"/>
      <w:outlineLvl w:val="1"/>
    </w:pPr>
    <w:rPr>
      <w:rFonts w:ascii="Arial" w:hAnsi="Arial" w:eastAsia="Arial" w:cs="Arial"/>
      <w:b/>
      <w:bCs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548" w:right="883"/>
    </w:pPr>
    <w:rPr>
      <w:rFonts w:ascii="Trebuchet MS" w:hAnsi="Trebuchet MS" w:eastAsia="Trebuchet MS" w:cs="Trebuchet MS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2019-08-30T12:03:12Z</dcterms:created>
  <dcterms:modified xsi:type="dcterms:W3CDTF">2019-08-30T12:03:12Z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2019-08-30T00:00:00Z</vt:filetime>
  </property>
</Properties>
</file>